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9B88" w14:textId="77777777" w:rsidR="00BD2320" w:rsidRPr="00675813" w:rsidRDefault="00BD2320" w:rsidP="00BD2320">
      <w:pPr>
        <w:pStyle w:val="Heading1"/>
        <w:rPr>
          <w:b/>
          <w:bCs/>
          <w:sz w:val="24"/>
          <w:szCs w:val="24"/>
        </w:rPr>
      </w:pPr>
      <w:r w:rsidRPr="00675813">
        <w:rPr>
          <w:b/>
          <w:bCs/>
          <w:sz w:val="24"/>
          <w:szCs w:val="24"/>
        </w:rPr>
        <w:t>Pre-application actions</w:t>
      </w:r>
    </w:p>
    <w:p w14:paraId="775E9FA4" w14:textId="77777777" w:rsidR="00BD2320" w:rsidRPr="00675813" w:rsidRDefault="00BD2320" w:rsidP="00BD2320">
      <w:pPr>
        <w:rPr>
          <w:i/>
          <w:iCs/>
          <w:sz w:val="22"/>
          <w:szCs w:val="22"/>
        </w:rPr>
      </w:pPr>
      <w:r w:rsidRPr="00675813">
        <w:rPr>
          <w:i/>
          <w:iCs/>
          <w:sz w:val="22"/>
          <w:szCs w:val="22"/>
        </w:rPr>
        <w:t>There are several one-time actions that must be completed before submitting an application in response to this Administrative and Legal Requirements Document (ALRD) (e.g., register with the System for Award Management (SAM), obtain a Unique Entity Identifier (UEI), and register with FedConnect.net). It is vital that applicants address these items as soon as possible, as some may take several weeks.</w:t>
      </w:r>
    </w:p>
    <w:p w14:paraId="041F5330" w14:textId="77777777" w:rsidR="00BD2320" w:rsidRPr="00675813" w:rsidRDefault="00BD2320" w:rsidP="00BD2320">
      <w:pPr>
        <w:rPr>
          <w:i/>
          <w:iCs/>
          <w:sz w:val="22"/>
          <w:szCs w:val="22"/>
        </w:rPr>
      </w:pPr>
    </w:p>
    <w:p w14:paraId="40C70E9C" w14:textId="77777777" w:rsidR="00BD2320" w:rsidRPr="00675813" w:rsidRDefault="00BD2320" w:rsidP="00BD2320">
      <w:pPr>
        <w:rPr>
          <w:i/>
          <w:iCs/>
          <w:sz w:val="22"/>
          <w:szCs w:val="22"/>
        </w:rPr>
      </w:pPr>
      <w:r w:rsidRPr="00675813">
        <w:rPr>
          <w:i/>
          <w:iCs/>
          <w:sz w:val="22"/>
          <w:szCs w:val="22"/>
        </w:rPr>
        <w:t xml:space="preserve">Resource page: </w:t>
      </w:r>
      <w:hyperlink r:id="rId6" w:history="1">
        <w:r w:rsidRPr="00675813">
          <w:rPr>
            <w:rStyle w:val="Hyperlink"/>
            <w:rFonts w:eastAsiaTheme="majorEastAsia"/>
            <w:i/>
            <w:iCs/>
            <w:sz w:val="22"/>
            <w:szCs w:val="22"/>
          </w:rPr>
          <w:t>https://netl.doe.gov/bilhub/grid-resilience/formula-grants</w:t>
        </w:r>
      </w:hyperlink>
    </w:p>
    <w:p w14:paraId="2F885D06" w14:textId="77777777" w:rsidR="00BD2320" w:rsidRPr="00D20F1E" w:rsidRDefault="00BD2320" w:rsidP="00BD2320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2"/>
          <w:szCs w:val="22"/>
        </w:rPr>
      </w:pPr>
    </w:p>
    <w:p w14:paraId="1D658DAB" w14:textId="77777777" w:rsidR="00BD2320" w:rsidRPr="00675813" w:rsidRDefault="00BD2320" w:rsidP="00BD2320">
      <w:pPr>
        <w:pStyle w:val="Heading2"/>
        <w:rPr>
          <w:sz w:val="22"/>
          <w:szCs w:val="22"/>
          <w:u w:val="single"/>
        </w:rPr>
      </w:pPr>
      <w:r w:rsidRPr="00675813">
        <w:rPr>
          <w:sz w:val="22"/>
          <w:szCs w:val="22"/>
          <w:u w:val="single"/>
        </w:rPr>
        <w:t>SAM Registration</w:t>
      </w:r>
    </w:p>
    <w:p w14:paraId="5BF88E78" w14:textId="77777777" w:rsidR="00BD2320" w:rsidRPr="00D20F1E" w:rsidRDefault="00BD2320" w:rsidP="00BD2320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Applicants must register with the SAM at </w:t>
      </w:r>
      <w:r w:rsidRPr="00D20F1E">
        <w:rPr>
          <w:rFonts w:ascii="Calibri" w:hAnsi="Calibri" w:cs="Calibri"/>
          <w:i/>
          <w:iCs/>
          <w:color w:val="0000FF"/>
          <w:sz w:val="22"/>
          <w:szCs w:val="22"/>
        </w:rPr>
        <w:t xml:space="preserve">https://www.sam.gov/ </w:t>
      </w:r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prior to </w:t>
      </w:r>
      <w:proofErr w:type="gramStart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>submitting an application</w:t>
      </w:r>
      <w:proofErr w:type="gramEnd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 in response to this ALRD. Designating an Electronic Business Point of Contact (</w:t>
      </w:r>
      <w:proofErr w:type="spellStart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>EBiz</w:t>
      </w:r>
      <w:proofErr w:type="spellEnd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 POC) and obtaining a special password called an MPIN are important steps in SAM registration. The applicant must </w:t>
      </w:r>
      <w:proofErr w:type="gramStart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>maintain an active SAM registration with current information at all times</w:t>
      </w:r>
      <w:proofErr w:type="gramEnd"/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 during which it has an active Federal award or an application under consideration. More information about SAM registration for applicants is available at:</w:t>
      </w:r>
      <w:r w:rsidRPr="00675813">
        <w:rPr>
          <w:rFonts w:ascii="Calibri" w:hAnsi="Calibri" w:cs="Calibri"/>
          <w:i/>
          <w:iCs/>
          <w:color w:val="000000"/>
          <w:sz w:val="22"/>
          <w:szCs w:val="22"/>
        </w:rPr>
        <w:t xml:space="preserve"> h</w:t>
      </w:r>
      <w:r w:rsidRPr="00D20F1E">
        <w:rPr>
          <w:rFonts w:ascii="Calibri" w:hAnsi="Calibri" w:cs="Calibri"/>
          <w:i/>
          <w:iCs/>
          <w:color w:val="0000FF"/>
          <w:sz w:val="22"/>
          <w:szCs w:val="22"/>
        </w:rPr>
        <w:t>ttps://www.fsd.gov/gsafsd_sp?id=gsafsd_kb_articles&amp;sys_id=650d493e1bab7c105465eaccac4bcbcb</w:t>
      </w:r>
      <w:r w:rsidRPr="00D20F1E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</w:p>
    <w:p w14:paraId="697E7805" w14:textId="77777777" w:rsidR="00BD2320" w:rsidRPr="00675813" w:rsidRDefault="00BD2320" w:rsidP="00BD2320">
      <w:pPr>
        <w:pStyle w:val="Heading2"/>
        <w:rPr>
          <w:sz w:val="22"/>
          <w:szCs w:val="22"/>
        </w:rPr>
      </w:pPr>
    </w:p>
    <w:p w14:paraId="33CF3D45" w14:textId="77777777" w:rsidR="00BD2320" w:rsidRPr="00675813" w:rsidRDefault="00BD2320" w:rsidP="00BD2320">
      <w:pPr>
        <w:pStyle w:val="Heading2"/>
        <w:rPr>
          <w:sz w:val="22"/>
          <w:szCs w:val="22"/>
          <w:u w:val="single"/>
        </w:rPr>
      </w:pPr>
      <w:r w:rsidRPr="00675813">
        <w:rPr>
          <w:sz w:val="22"/>
          <w:szCs w:val="22"/>
          <w:u w:val="single"/>
        </w:rPr>
        <w:t>Obtain UEI</w:t>
      </w:r>
    </w:p>
    <w:p w14:paraId="306E57A9" w14:textId="77777777" w:rsidR="00BD2320" w:rsidRPr="00675813" w:rsidRDefault="00BD2320" w:rsidP="00BD2320">
      <w:pPr>
        <w:rPr>
          <w:i/>
          <w:iCs/>
          <w:sz w:val="22"/>
          <w:szCs w:val="22"/>
        </w:rPr>
      </w:pPr>
      <w:r w:rsidRPr="00675813">
        <w:rPr>
          <w:i/>
          <w:iCs/>
          <w:sz w:val="22"/>
          <w:szCs w:val="22"/>
        </w:rPr>
        <w:t xml:space="preserve">Applicants must obtain an UEI from the SAM to uniquely identify the entity. The UEI is available in the SAM entity registration record. Note: </w:t>
      </w:r>
      <w:proofErr w:type="spellStart"/>
      <w:r w:rsidRPr="00675813">
        <w:rPr>
          <w:i/>
          <w:iCs/>
          <w:sz w:val="22"/>
          <w:szCs w:val="22"/>
        </w:rPr>
        <w:t>subawardees</w:t>
      </w:r>
      <w:proofErr w:type="spellEnd"/>
      <w:r w:rsidRPr="00675813">
        <w:rPr>
          <w:i/>
          <w:iCs/>
          <w:sz w:val="22"/>
          <w:szCs w:val="22"/>
        </w:rPr>
        <w:t>/subrecipients at all tiers must also obtain an UEI from the SAM and provide the UEI to the award Recipient before the subaward can be issued.</w:t>
      </w:r>
    </w:p>
    <w:p w14:paraId="1425AED6" w14:textId="77777777" w:rsidR="00BD2320" w:rsidRPr="00675813" w:rsidRDefault="00BD2320" w:rsidP="00BD2320">
      <w:pPr>
        <w:rPr>
          <w:i/>
          <w:iCs/>
          <w:sz w:val="22"/>
          <w:szCs w:val="22"/>
        </w:rPr>
      </w:pPr>
    </w:p>
    <w:p w14:paraId="04B10350" w14:textId="77777777" w:rsidR="00BD2320" w:rsidRPr="00675813" w:rsidRDefault="00BD2320" w:rsidP="00BD2320">
      <w:pPr>
        <w:pStyle w:val="Heading2"/>
        <w:rPr>
          <w:sz w:val="22"/>
          <w:szCs w:val="22"/>
          <w:u w:val="single"/>
        </w:rPr>
      </w:pPr>
      <w:r w:rsidRPr="00675813">
        <w:rPr>
          <w:sz w:val="22"/>
          <w:szCs w:val="22"/>
          <w:u w:val="single"/>
        </w:rPr>
        <w:t>FedConnect.net</w:t>
      </w:r>
    </w:p>
    <w:p w14:paraId="15D8D70D" w14:textId="77777777" w:rsidR="00BD2320" w:rsidRPr="00675813" w:rsidRDefault="00BD2320" w:rsidP="00BD2320">
      <w:pPr>
        <w:pStyle w:val="Default"/>
        <w:rPr>
          <w:i/>
          <w:iCs/>
          <w:sz w:val="22"/>
          <w:szCs w:val="22"/>
        </w:rPr>
      </w:pPr>
      <w:r w:rsidRPr="00675813">
        <w:rPr>
          <w:i/>
          <w:iCs/>
          <w:sz w:val="22"/>
          <w:szCs w:val="22"/>
        </w:rPr>
        <w:t xml:space="preserve">Applicants must register with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 to submit applications in response to the ALRD, to submit questions, and to receive the award.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 website: </w:t>
      </w:r>
      <w:r w:rsidRPr="00675813">
        <w:rPr>
          <w:i/>
          <w:iCs/>
          <w:color w:val="0000FF"/>
          <w:sz w:val="22"/>
          <w:szCs w:val="22"/>
        </w:rPr>
        <w:t>www.fedconnect.net/</w:t>
      </w:r>
      <w:r w:rsidRPr="00675813">
        <w:rPr>
          <w:i/>
          <w:iCs/>
          <w:sz w:val="22"/>
          <w:szCs w:val="22"/>
        </w:rPr>
        <w:t xml:space="preserve">. For more information regarding registration with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 review the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 Ready, Set, Go! Guide at </w:t>
      </w:r>
      <w:r w:rsidRPr="00675813">
        <w:rPr>
          <w:b/>
          <w:bCs/>
          <w:i/>
          <w:iCs/>
          <w:color w:val="0000FF"/>
          <w:sz w:val="22"/>
          <w:szCs w:val="22"/>
        </w:rPr>
        <w:t>https://www.fedconnect.net/FedConnect/Marketing/Documents/FedConnect_Ready_Set_Go.pdf</w:t>
      </w:r>
    </w:p>
    <w:p w14:paraId="3ABED009" w14:textId="77777777" w:rsidR="00BD2320" w:rsidRPr="00675813" w:rsidRDefault="00BD2320" w:rsidP="00BD2320">
      <w:pPr>
        <w:rPr>
          <w:sz w:val="22"/>
          <w:szCs w:val="22"/>
        </w:rPr>
      </w:pPr>
    </w:p>
    <w:p w14:paraId="453FB998" w14:textId="77777777" w:rsidR="00BD2320" w:rsidRPr="00675813" w:rsidRDefault="00BD2320" w:rsidP="00BD2320">
      <w:pPr>
        <w:pStyle w:val="Heading2"/>
        <w:rPr>
          <w:sz w:val="22"/>
          <w:szCs w:val="22"/>
          <w:u w:val="single"/>
        </w:rPr>
      </w:pPr>
      <w:r w:rsidRPr="00675813">
        <w:rPr>
          <w:sz w:val="22"/>
          <w:szCs w:val="22"/>
          <w:u w:val="single"/>
        </w:rPr>
        <w:t>Electronic Signatures</w:t>
      </w:r>
    </w:p>
    <w:p w14:paraId="29EB975F" w14:textId="6377FB42" w:rsidR="002C7112" w:rsidRDefault="00BD2320">
      <w:r w:rsidRPr="00675813">
        <w:rPr>
          <w:i/>
          <w:iCs/>
          <w:sz w:val="22"/>
          <w:szCs w:val="22"/>
        </w:rPr>
        <w:t xml:space="preserve">Acknowledgement of award documents by the Grantee’s authorized representative through electronic systems used by the Dept of Energy, including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, constitutes the Grantee’s acceptance of the terms and conditions of the award. Acknowledgement via </w:t>
      </w:r>
      <w:proofErr w:type="spellStart"/>
      <w:r w:rsidRPr="00675813">
        <w:rPr>
          <w:i/>
          <w:iCs/>
          <w:sz w:val="22"/>
          <w:szCs w:val="22"/>
        </w:rPr>
        <w:t>FedConnect</w:t>
      </w:r>
      <w:proofErr w:type="spellEnd"/>
      <w:r w:rsidRPr="00675813">
        <w:rPr>
          <w:i/>
          <w:iCs/>
          <w:sz w:val="22"/>
          <w:szCs w:val="22"/>
        </w:rPr>
        <w:t xml:space="preserve"> by the Grantee’s authorized representative constitutes the Grantee’s electronic signature.</w:t>
      </w:r>
    </w:p>
    <w:sectPr w:rsidR="002C7112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D6B5" w14:textId="77777777" w:rsidR="00EB7308" w:rsidRDefault="00EB7308" w:rsidP="00D123D8">
      <w:r>
        <w:separator/>
      </w:r>
    </w:p>
  </w:endnote>
  <w:endnote w:type="continuationSeparator" w:id="0">
    <w:p w14:paraId="448A0145" w14:textId="77777777" w:rsidR="00EB7308" w:rsidRDefault="00EB7308" w:rsidP="00D1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54970668"/>
      <w:docPartObj>
        <w:docPartGallery w:val="Page Numbers (Bottom of Page)"/>
        <w:docPartUnique/>
      </w:docPartObj>
    </w:sdtPr>
    <w:sdtContent>
      <w:p w14:paraId="189804B3" w14:textId="77777777" w:rsidR="00675813" w:rsidRDefault="00000000" w:rsidP="000F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F8F4D0" w14:textId="77777777" w:rsidR="00675813" w:rsidRDefault="00000000" w:rsidP="00675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491239"/>
      <w:docPartObj>
        <w:docPartGallery w:val="Page Numbers (Bottom of Page)"/>
        <w:docPartUnique/>
      </w:docPartObj>
    </w:sdtPr>
    <w:sdtContent>
      <w:p w14:paraId="029A0979" w14:textId="77777777" w:rsidR="00675813" w:rsidRDefault="00000000" w:rsidP="000F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A6A18B5" w14:textId="77777777" w:rsidR="00675813" w:rsidRDefault="00000000" w:rsidP="00675813">
    <w:pPr>
      <w:pStyle w:val="Footer"/>
      <w:ind w:right="360"/>
    </w:pPr>
    <w:r>
      <w:t>DE-FOA-0002736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901494"/>
      <w:docPartObj>
        <w:docPartGallery w:val="Page Numbers (Bottom of Page)"/>
        <w:docPartUnique/>
      </w:docPartObj>
    </w:sdtPr>
    <w:sdtContent>
      <w:p w14:paraId="3424D48C" w14:textId="77777777" w:rsidR="00675813" w:rsidRDefault="00000000" w:rsidP="000F71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FABB68" w14:textId="77777777" w:rsidR="00675813" w:rsidRDefault="00000000" w:rsidP="00675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4C0E" w14:textId="77777777" w:rsidR="00EB7308" w:rsidRDefault="00EB7308" w:rsidP="00D123D8">
      <w:r>
        <w:separator/>
      </w:r>
    </w:p>
  </w:footnote>
  <w:footnote w:type="continuationSeparator" w:id="0">
    <w:p w14:paraId="3ADE7AC6" w14:textId="77777777" w:rsidR="00EB7308" w:rsidRDefault="00EB7308" w:rsidP="00D1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E1BF" w14:textId="683BB196" w:rsidR="00675813" w:rsidRDefault="00000000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20"/>
    <w:rsid w:val="002C7112"/>
    <w:rsid w:val="007C171A"/>
    <w:rsid w:val="009860C6"/>
    <w:rsid w:val="00BD2320"/>
    <w:rsid w:val="00D123D8"/>
    <w:rsid w:val="00EB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D9909"/>
  <w15:chartTrackingRefBased/>
  <w15:docId w15:val="{AC56E167-A66B-A849-B74B-39DE36CE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20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2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2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2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rsid w:val="00BD2320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qFormat/>
    <w:rsid w:val="00BD2320"/>
    <w:rPr>
      <w:rFonts w:asciiTheme="minorHAnsi" w:hAnsiTheme="minorHAnsi"/>
      <w:b/>
      <w:sz w:val="36"/>
    </w:rPr>
  </w:style>
  <w:style w:type="paragraph" w:customStyle="1" w:styleId="Default">
    <w:name w:val="Default"/>
    <w:rsid w:val="00BD232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D2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2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2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D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l.doe.gov/bilhub/grid-resilience/formula-grant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Dodge</dc:creator>
  <cp:keywords/>
  <dc:description/>
  <cp:lastModifiedBy>Emily Dodge</cp:lastModifiedBy>
  <cp:revision>2</cp:revision>
  <dcterms:created xsi:type="dcterms:W3CDTF">2022-08-23T04:48:00Z</dcterms:created>
  <dcterms:modified xsi:type="dcterms:W3CDTF">2022-08-23T04:49:00Z</dcterms:modified>
</cp:coreProperties>
</file>